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tblpY="-58"/>
        <w:tblW w:w="9803" w:type="dxa"/>
        <w:tblLook w:val="04A0" w:firstRow="1" w:lastRow="0" w:firstColumn="1" w:lastColumn="0" w:noHBand="0" w:noVBand="1"/>
      </w:tblPr>
      <w:tblGrid>
        <w:gridCol w:w="5520"/>
        <w:gridCol w:w="980"/>
        <w:gridCol w:w="980"/>
        <w:gridCol w:w="1120"/>
        <w:gridCol w:w="1203"/>
      </w:tblGrid>
      <w:tr w:rsidR="0023086F" w:rsidRPr="00260483" w14:paraId="11B21EED" w14:textId="77777777" w:rsidTr="008B611B">
        <w:trPr>
          <w:trHeight w:val="288"/>
        </w:trPr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3D7C6" w14:textId="542C4E04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 xml:space="preserve">Tenant Satisfaction Measure </w:t>
            </w:r>
            <w:r w:rsidR="0001732A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 xml:space="preserve">Survey </w:t>
            </w:r>
            <w:r w:rsidRPr="0026048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Results %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9887E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62123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233F9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0C5D4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</w:p>
        </w:tc>
      </w:tr>
      <w:tr w:rsidR="0023086F" w:rsidRPr="00260483" w14:paraId="68DD51ED" w14:textId="77777777" w:rsidTr="00F80630">
        <w:trPr>
          <w:trHeight w:val="1152"/>
        </w:trPr>
        <w:tc>
          <w:tcPr>
            <w:tcW w:w="5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91374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C5388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2023/24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D7521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2024/25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33BF8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Unity Trend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506FC9" w14:textId="09D101BD" w:rsidR="0023086F" w:rsidRPr="00260483" w:rsidRDefault="00F80630" w:rsidP="008B611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Source</w:t>
            </w:r>
          </w:p>
        </w:tc>
      </w:tr>
      <w:tr w:rsidR="0023086F" w:rsidRPr="00260483" w14:paraId="61EEFD3D" w14:textId="77777777" w:rsidTr="00F80630">
        <w:trPr>
          <w:trHeight w:val="576"/>
        </w:trPr>
        <w:tc>
          <w:tcPr>
            <w:tcW w:w="5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9CDE1F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TP01: Proportion of respondents who report that they are satisfied with the overall service from their landlord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209C0" w14:textId="77777777" w:rsidR="0023086F" w:rsidRPr="00260483" w:rsidRDefault="0023086F" w:rsidP="008B61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74.5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CF753" w14:textId="77777777" w:rsidR="0023086F" w:rsidRPr="00260483" w:rsidRDefault="0023086F" w:rsidP="008B61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76.3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7D359"/>
            <w:noWrap/>
            <w:vAlign w:val="bottom"/>
            <w:hideMark/>
          </w:tcPr>
          <w:p w14:paraId="68E8E632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D3EB19" w14:textId="7796C4EC" w:rsidR="0023086F" w:rsidRPr="00260483" w:rsidRDefault="00F80630" w:rsidP="002604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LCRA</w:t>
            </w:r>
          </w:p>
        </w:tc>
      </w:tr>
      <w:tr w:rsidR="0023086F" w:rsidRPr="00260483" w14:paraId="65F64942" w14:textId="77777777" w:rsidTr="00F80630">
        <w:trPr>
          <w:trHeight w:val="1152"/>
        </w:trPr>
        <w:tc>
          <w:tcPr>
            <w:tcW w:w="5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76013A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TP02: Proportion of respondents who have received a repair in the last </w:t>
            </w: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br/>
              <w:t>12 months who report that they are satisfied with the overall repairs service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9CF68" w14:textId="77777777" w:rsidR="0023086F" w:rsidRPr="00260483" w:rsidRDefault="0023086F" w:rsidP="008B61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67.9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6B19B" w14:textId="77777777" w:rsidR="0023086F" w:rsidRPr="00260483" w:rsidRDefault="0023086F" w:rsidP="008B61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70.8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7D359"/>
            <w:noWrap/>
            <w:vAlign w:val="bottom"/>
            <w:hideMark/>
          </w:tcPr>
          <w:p w14:paraId="24486592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6D58DA" w14:textId="4BCABDF0" w:rsidR="0023086F" w:rsidRPr="00260483" w:rsidRDefault="00F80630" w:rsidP="002604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LCRA</w:t>
            </w:r>
          </w:p>
        </w:tc>
      </w:tr>
      <w:tr w:rsidR="0023086F" w:rsidRPr="00260483" w14:paraId="4F26E365" w14:textId="77777777" w:rsidTr="00F80630">
        <w:trPr>
          <w:trHeight w:val="864"/>
        </w:trPr>
        <w:tc>
          <w:tcPr>
            <w:tcW w:w="5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654D4E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TP03: Proportion of respondents who have received a repair in the last 12 months who report that they are satisfied with the time taken to complete their most recent repair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38B7E" w14:textId="77777777" w:rsidR="0023086F" w:rsidRPr="00260483" w:rsidRDefault="0023086F" w:rsidP="008B61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70.5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B38A9" w14:textId="77777777" w:rsidR="0023086F" w:rsidRPr="00260483" w:rsidRDefault="0023086F" w:rsidP="008B61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71.6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7D359"/>
            <w:noWrap/>
            <w:vAlign w:val="bottom"/>
            <w:hideMark/>
          </w:tcPr>
          <w:p w14:paraId="2459AE12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77B9FD" w14:textId="3BE57A8D" w:rsidR="0023086F" w:rsidRPr="00260483" w:rsidRDefault="00F80630" w:rsidP="002604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LCRA</w:t>
            </w:r>
          </w:p>
        </w:tc>
      </w:tr>
      <w:tr w:rsidR="0023086F" w:rsidRPr="00260483" w14:paraId="466366FA" w14:textId="77777777" w:rsidTr="00F80630">
        <w:trPr>
          <w:trHeight w:val="864"/>
        </w:trPr>
        <w:tc>
          <w:tcPr>
            <w:tcW w:w="5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EE7448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TP04: Proportion of respondents who report that they are satisfied that </w:t>
            </w: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br/>
              <w:t>their home is well maintained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FB8C9" w14:textId="77777777" w:rsidR="0023086F" w:rsidRPr="00260483" w:rsidRDefault="0023086F" w:rsidP="008B61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74.5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0CD90" w14:textId="77777777" w:rsidR="0023086F" w:rsidRPr="00260483" w:rsidRDefault="0023086F" w:rsidP="008B61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78.5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7D359"/>
            <w:noWrap/>
            <w:vAlign w:val="bottom"/>
            <w:hideMark/>
          </w:tcPr>
          <w:p w14:paraId="042ADF4A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C4C26A" w14:textId="6D9B4F4F" w:rsidR="0023086F" w:rsidRPr="00260483" w:rsidRDefault="00F80630" w:rsidP="002604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LCRA</w:t>
            </w:r>
          </w:p>
        </w:tc>
      </w:tr>
      <w:tr w:rsidR="0023086F" w:rsidRPr="00260483" w14:paraId="5E1C6B95" w14:textId="77777777" w:rsidTr="00F80630">
        <w:trPr>
          <w:trHeight w:val="576"/>
        </w:trPr>
        <w:tc>
          <w:tcPr>
            <w:tcW w:w="5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725212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TP05: Proportion of respondents who report that they are satisfied that their home is safe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360CB" w14:textId="77777777" w:rsidR="0023086F" w:rsidRPr="00260483" w:rsidRDefault="0023086F" w:rsidP="008B61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84.3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52716" w14:textId="77777777" w:rsidR="0023086F" w:rsidRPr="00260483" w:rsidRDefault="0023086F" w:rsidP="008B61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85.7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7D359"/>
            <w:noWrap/>
            <w:vAlign w:val="bottom"/>
            <w:hideMark/>
          </w:tcPr>
          <w:p w14:paraId="1F993A94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691376" w14:textId="7A3E6C9A" w:rsidR="0023086F" w:rsidRPr="00260483" w:rsidRDefault="00F80630" w:rsidP="002604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LCRA</w:t>
            </w:r>
          </w:p>
        </w:tc>
      </w:tr>
      <w:tr w:rsidR="0023086F" w:rsidRPr="00260483" w14:paraId="4AF0B86D" w14:textId="77777777" w:rsidTr="00F80630">
        <w:trPr>
          <w:trHeight w:val="864"/>
        </w:trPr>
        <w:tc>
          <w:tcPr>
            <w:tcW w:w="5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582B8B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TP06: Proportion of respondents who report that they are satisfied that their landlord listens to tenant views and acts upon them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B2300" w14:textId="77777777" w:rsidR="0023086F" w:rsidRPr="00260483" w:rsidRDefault="0023086F" w:rsidP="008B61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69.4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A96FC" w14:textId="77777777" w:rsidR="0023086F" w:rsidRPr="00260483" w:rsidRDefault="0023086F" w:rsidP="008B61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71.0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7D359"/>
            <w:noWrap/>
            <w:vAlign w:val="bottom"/>
            <w:hideMark/>
          </w:tcPr>
          <w:p w14:paraId="430F0F2C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C5EBB8" w14:textId="47D94728" w:rsidR="0023086F" w:rsidRPr="00260483" w:rsidRDefault="00F80630" w:rsidP="002604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LCRA</w:t>
            </w:r>
          </w:p>
        </w:tc>
      </w:tr>
      <w:tr w:rsidR="0023086F" w:rsidRPr="00260483" w14:paraId="58EB34A4" w14:textId="77777777" w:rsidTr="00F80630">
        <w:trPr>
          <w:trHeight w:val="864"/>
        </w:trPr>
        <w:tc>
          <w:tcPr>
            <w:tcW w:w="5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E00B7C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TP07: Proportion of respondents who report that they are satisfied that their landlord keeps them informed about things that matter to them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55E61" w14:textId="77777777" w:rsidR="0023086F" w:rsidRPr="00260483" w:rsidRDefault="0023086F" w:rsidP="008B61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82.9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269E9" w14:textId="77777777" w:rsidR="0023086F" w:rsidRPr="00260483" w:rsidRDefault="0023086F" w:rsidP="008B61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83.7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7D359"/>
            <w:noWrap/>
            <w:vAlign w:val="bottom"/>
            <w:hideMark/>
          </w:tcPr>
          <w:p w14:paraId="3EC5CBBD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25DF10" w14:textId="758BA311" w:rsidR="0023086F" w:rsidRPr="00260483" w:rsidRDefault="00F80630" w:rsidP="002604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LCRA</w:t>
            </w:r>
          </w:p>
        </w:tc>
      </w:tr>
      <w:tr w:rsidR="0023086F" w:rsidRPr="00260483" w14:paraId="4D8EDDAC" w14:textId="77777777" w:rsidTr="00F80630">
        <w:trPr>
          <w:trHeight w:val="576"/>
        </w:trPr>
        <w:tc>
          <w:tcPr>
            <w:tcW w:w="5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4F4A86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TP08: Proportion of respondents who report that they agree their landlord treats them fairly and with respect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AD371" w14:textId="77777777" w:rsidR="0023086F" w:rsidRPr="00260483" w:rsidRDefault="0023086F" w:rsidP="008B61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84.5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E6AF2" w14:textId="77777777" w:rsidR="0023086F" w:rsidRPr="00260483" w:rsidRDefault="0023086F" w:rsidP="008B61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87.6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7D359"/>
            <w:noWrap/>
            <w:vAlign w:val="bottom"/>
            <w:hideMark/>
          </w:tcPr>
          <w:p w14:paraId="59199809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EA6E1B" w14:textId="08FBC5B4" w:rsidR="0023086F" w:rsidRPr="00260483" w:rsidRDefault="00F80630" w:rsidP="002604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LCRA</w:t>
            </w:r>
          </w:p>
        </w:tc>
      </w:tr>
      <w:tr w:rsidR="0023086F" w:rsidRPr="00260483" w14:paraId="1FF209AB" w14:textId="77777777" w:rsidTr="00F80630">
        <w:trPr>
          <w:trHeight w:val="864"/>
        </w:trPr>
        <w:tc>
          <w:tcPr>
            <w:tcW w:w="5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DADD7B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TP09: Proportion of respondents who report making a complaint in the last 12 months who are satisfied with their landlord’s approach to complaints handling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FBB41" w14:textId="77777777" w:rsidR="0023086F" w:rsidRPr="00260483" w:rsidRDefault="0023086F" w:rsidP="008B61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44.1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FAB52" w14:textId="77777777" w:rsidR="0023086F" w:rsidRPr="00260483" w:rsidRDefault="0023086F" w:rsidP="008B61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51.8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7D359"/>
            <w:noWrap/>
            <w:vAlign w:val="bottom"/>
            <w:hideMark/>
          </w:tcPr>
          <w:p w14:paraId="770C2242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2408" w14:textId="3DDC4E0D" w:rsidR="0023086F" w:rsidRPr="00260483" w:rsidRDefault="00F80630" w:rsidP="002604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LCRA</w:t>
            </w:r>
          </w:p>
        </w:tc>
      </w:tr>
      <w:tr w:rsidR="0023086F" w:rsidRPr="00260483" w14:paraId="27573B54" w14:textId="77777777" w:rsidTr="00F80630">
        <w:trPr>
          <w:trHeight w:val="864"/>
        </w:trPr>
        <w:tc>
          <w:tcPr>
            <w:tcW w:w="5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69B8E5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TP10: Proportion of respondents with communal areas who report that they are satisfied that their landlord keeps communal areas clean and well maintained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6DF84" w14:textId="77777777" w:rsidR="0023086F" w:rsidRPr="00260483" w:rsidRDefault="0023086F" w:rsidP="008B61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79.7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998E2" w14:textId="77777777" w:rsidR="0023086F" w:rsidRPr="00260483" w:rsidRDefault="0023086F" w:rsidP="008B61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74.5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bottom"/>
            <w:hideMark/>
          </w:tcPr>
          <w:p w14:paraId="060AC5FC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5A0AA5" w14:textId="47AB2363" w:rsidR="0023086F" w:rsidRPr="00260483" w:rsidRDefault="00F80630" w:rsidP="002604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LCRA</w:t>
            </w:r>
          </w:p>
        </w:tc>
      </w:tr>
      <w:tr w:rsidR="0023086F" w:rsidRPr="00260483" w14:paraId="43F15435" w14:textId="77777777" w:rsidTr="00F80630">
        <w:trPr>
          <w:trHeight w:val="864"/>
        </w:trPr>
        <w:tc>
          <w:tcPr>
            <w:tcW w:w="5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8BC1C2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TP11: Proportion of respondents who report that they are satisfied that their landlord makes a positive contribution to the neighbourhood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50AD1" w14:textId="77777777" w:rsidR="0023086F" w:rsidRPr="00260483" w:rsidRDefault="0023086F" w:rsidP="008B61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72.9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CB782" w14:textId="77777777" w:rsidR="0023086F" w:rsidRPr="00260483" w:rsidRDefault="0023086F" w:rsidP="008B61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79.6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7D359"/>
            <w:noWrap/>
            <w:vAlign w:val="bottom"/>
            <w:hideMark/>
          </w:tcPr>
          <w:p w14:paraId="1CA8F04A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16F63E" w14:textId="0B795E91" w:rsidR="0023086F" w:rsidRPr="00260483" w:rsidRDefault="00F80630" w:rsidP="002604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LCRA</w:t>
            </w:r>
          </w:p>
        </w:tc>
      </w:tr>
      <w:tr w:rsidR="0023086F" w:rsidRPr="00260483" w14:paraId="34B6F42F" w14:textId="77777777" w:rsidTr="00F80630">
        <w:trPr>
          <w:trHeight w:val="864"/>
        </w:trPr>
        <w:tc>
          <w:tcPr>
            <w:tcW w:w="5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384B20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TP12: Proportion of respondents who report that they are satisfied with their landlord’s approach to handling anti-social behaviour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6C43F" w14:textId="77777777" w:rsidR="0023086F" w:rsidRPr="00260483" w:rsidRDefault="0023086F" w:rsidP="008B61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74.2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37283" w14:textId="77777777" w:rsidR="0023086F" w:rsidRPr="00260483" w:rsidRDefault="0023086F" w:rsidP="008B611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74.4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47D359"/>
            <w:noWrap/>
            <w:vAlign w:val="bottom"/>
            <w:hideMark/>
          </w:tcPr>
          <w:p w14:paraId="030CEC54" w14:textId="77777777" w:rsidR="0023086F" w:rsidRPr="00260483" w:rsidRDefault="0023086F" w:rsidP="008B61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2F2BD" w14:textId="4A2D8CBC" w:rsidR="0023086F" w:rsidRPr="00260483" w:rsidRDefault="00F80630" w:rsidP="002604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60483">
              <w:rPr>
                <w:rFonts w:ascii="Calibri" w:eastAsia="Times New Roman" w:hAnsi="Calibri" w:cs="Calibri"/>
                <w:color w:val="000000"/>
                <w:lang w:eastAsia="en-GB"/>
              </w:rPr>
              <w:t>LCRA</w:t>
            </w:r>
          </w:p>
        </w:tc>
      </w:tr>
    </w:tbl>
    <w:p w14:paraId="62D706BD" w14:textId="77777777" w:rsidR="00991979" w:rsidRPr="00260483" w:rsidRDefault="00991979">
      <w:pPr>
        <w:rPr>
          <w:rFonts w:ascii="Calibri" w:hAnsi="Calibri" w:cs="Calibri"/>
        </w:rPr>
      </w:pPr>
    </w:p>
    <w:p w14:paraId="7C9E0C72" w14:textId="77777777" w:rsidR="0023086F" w:rsidRPr="004E35C6" w:rsidRDefault="0023086F" w:rsidP="004E35C6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14:paraId="63FEB05B" w14:textId="77777777" w:rsidR="0023086F" w:rsidRPr="004E35C6" w:rsidRDefault="0023086F" w:rsidP="004E35C6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14:paraId="3E8B94CD" w14:textId="77777777" w:rsidR="0023086F" w:rsidRDefault="0023086F"/>
    <w:p w14:paraId="11D7A6F8" w14:textId="77777777" w:rsidR="004E35C6" w:rsidRDefault="004E35C6"/>
    <w:p w14:paraId="0770D5D9" w14:textId="77777777" w:rsidR="0023086F" w:rsidRPr="0023086F" w:rsidRDefault="0023086F">
      <w:pPr>
        <w:rPr>
          <w:b/>
          <w:bCs/>
        </w:rPr>
      </w:pPr>
    </w:p>
    <w:p w14:paraId="4088DF0D" w14:textId="7E12E2A4" w:rsidR="0023086F" w:rsidRPr="004E35C6" w:rsidRDefault="0023086F">
      <w:pPr>
        <w:rPr>
          <w:rFonts w:ascii="Calibri" w:hAnsi="Calibri" w:cs="Calibri"/>
          <w:b/>
          <w:bCs/>
          <w:sz w:val="20"/>
          <w:szCs w:val="20"/>
        </w:rPr>
      </w:pPr>
      <w:r w:rsidRPr="004E35C6">
        <w:rPr>
          <w:rFonts w:ascii="Calibri" w:hAnsi="Calibri" w:cs="Calibri"/>
          <w:b/>
          <w:bCs/>
          <w:sz w:val="20"/>
          <w:szCs w:val="20"/>
        </w:rPr>
        <w:lastRenderedPageBreak/>
        <w:t>Landlord Provided Measures</w:t>
      </w:r>
    </w:p>
    <w:tbl>
      <w:tblPr>
        <w:tblStyle w:val="TableGrid"/>
        <w:tblpPr w:leftFromText="180" w:rightFromText="180" w:vertAnchor="text" w:horzAnchor="margin" w:tblpXSpec="center" w:tblpY="292"/>
        <w:tblW w:w="9493" w:type="dxa"/>
        <w:tblLayout w:type="fixed"/>
        <w:tblLook w:val="04A0" w:firstRow="1" w:lastRow="0" w:firstColumn="1" w:lastColumn="0" w:noHBand="0" w:noVBand="1"/>
      </w:tblPr>
      <w:tblGrid>
        <w:gridCol w:w="988"/>
        <w:gridCol w:w="4394"/>
        <w:gridCol w:w="1170"/>
        <w:gridCol w:w="1098"/>
        <w:gridCol w:w="850"/>
        <w:gridCol w:w="993"/>
      </w:tblGrid>
      <w:tr w:rsidR="00F80630" w:rsidRPr="004E35C6" w14:paraId="5D24D0E6" w14:textId="13BFA4DC" w:rsidTr="004E35C6">
        <w:tc>
          <w:tcPr>
            <w:tcW w:w="988" w:type="dxa"/>
          </w:tcPr>
          <w:p w14:paraId="3EA90DE5" w14:textId="08FD9B34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/>
                <w:w w:val="105"/>
                <w:sz w:val="20"/>
                <w:szCs w:val="20"/>
              </w:rPr>
            </w:pPr>
          </w:p>
        </w:tc>
        <w:tc>
          <w:tcPr>
            <w:tcW w:w="4394" w:type="dxa"/>
          </w:tcPr>
          <w:p w14:paraId="7686CCCD" w14:textId="0437D098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/>
                <w:w w:val="105"/>
                <w:sz w:val="20"/>
                <w:szCs w:val="20"/>
              </w:rPr>
              <w:t>Repairs</w:t>
            </w:r>
          </w:p>
        </w:tc>
        <w:tc>
          <w:tcPr>
            <w:tcW w:w="1170" w:type="dxa"/>
          </w:tcPr>
          <w:p w14:paraId="2C6BC0AC" w14:textId="6A5D6EA6" w:rsidR="00F80630" w:rsidRPr="00260483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/>
                <w:w w:val="105"/>
                <w:sz w:val="20"/>
                <w:szCs w:val="20"/>
              </w:rPr>
            </w:pPr>
            <w:r w:rsidRPr="00260483">
              <w:rPr>
                <w:rFonts w:ascii="Calibri" w:hAnsi="Calibri" w:cs="Calibri"/>
                <w:b/>
                <w:w w:val="105"/>
                <w:sz w:val="20"/>
                <w:szCs w:val="20"/>
              </w:rPr>
              <w:t>2023/24</w:t>
            </w:r>
          </w:p>
        </w:tc>
        <w:tc>
          <w:tcPr>
            <w:tcW w:w="1098" w:type="dxa"/>
          </w:tcPr>
          <w:p w14:paraId="3CCB450D" w14:textId="31C9989F" w:rsidR="00F80630" w:rsidRPr="00260483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/>
                <w:w w:val="105"/>
                <w:sz w:val="20"/>
                <w:szCs w:val="20"/>
              </w:rPr>
            </w:pPr>
            <w:r w:rsidRPr="00260483">
              <w:rPr>
                <w:rFonts w:ascii="Calibri" w:hAnsi="Calibri" w:cs="Calibri"/>
                <w:b/>
                <w:w w:val="105"/>
                <w:sz w:val="20"/>
                <w:szCs w:val="20"/>
              </w:rPr>
              <w:t>2024/25</w:t>
            </w:r>
          </w:p>
        </w:tc>
        <w:tc>
          <w:tcPr>
            <w:tcW w:w="850" w:type="dxa"/>
          </w:tcPr>
          <w:p w14:paraId="66BD5027" w14:textId="7C384CD2" w:rsidR="00F80630" w:rsidRPr="00260483" w:rsidRDefault="00260483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/>
                <w:w w:val="105"/>
                <w:sz w:val="20"/>
                <w:szCs w:val="20"/>
              </w:rPr>
            </w:pPr>
            <w:r w:rsidRPr="00260483">
              <w:rPr>
                <w:rFonts w:ascii="Calibri" w:hAnsi="Calibri" w:cs="Calibri"/>
                <w:b/>
                <w:w w:val="105"/>
                <w:sz w:val="20"/>
                <w:szCs w:val="20"/>
              </w:rPr>
              <w:t xml:space="preserve">Unity </w:t>
            </w:r>
            <w:r w:rsidR="004E35C6" w:rsidRPr="00260483">
              <w:rPr>
                <w:rFonts w:ascii="Calibri" w:hAnsi="Calibri" w:cs="Calibri"/>
                <w:b/>
                <w:w w:val="105"/>
                <w:sz w:val="20"/>
                <w:szCs w:val="20"/>
              </w:rPr>
              <w:t>Trend</w:t>
            </w:r>
          </w:p>
        </w:tc>
        <w:tc>
          <w:tcPr>
            <w:tcW w:w="993" w:type="dxa"/>
          </w:tcPr>
          <w:p w14:paraId="3A244684" w14:textId="1F706C6A" w:rsidR="00F80630" w:rsidRPr="00260483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/>
                <w:w w:val="105"/>
                <w:sz w:val="20"/>
                <w:szCs w:val="20"/>
              </w:rPr>
            </w:pPr>
            <w:r w:rsidRPr="00260483">
              <w:rPr>
                <w:rFonts w:ascii="Calibri" w:hAnsi="Calibri" w:cs="Calibri"/>
                <w:b/>
                <w:w w:val="105"/>
                <w:sz w:val="20"/>
                <w:szCs w:val="20"/>
              </w:rPr>
              <w:t>Source</w:t>
            </w:r>
          </w:p>
        </w:tc>
      </w:tr>
      <w:tr w:rsidR="00F80630" w:rsidRPr="004E35C6" w14:paraId="55480D5A" w14:textId="1CB21171" w:rsidTr="004E35C6">
        <w:tc>
          <w:tcPr>
            <w:tcW w:w="988" w:type="dxa"/>
            <w:shd w:val="clear" w:color="auto" w:fill="EDEDED" w:themeFill="accent3" w:themeFillTint="33"/>
          </w:tcPr>
          <w:p w14:paraId="686EE4D7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/>
                <w:w w:val="105"/>
                <w:sz w:val="20"/>
                <w:szCs w:val="20"/>
              </w:rPr>
              <w:t>RP01</w:t>
            </w:r>
          </w:p>
        </w:tc>
        <w:tc>
          <w:tcPr>
            <w:tcW w:w="4394" w:type="dxa"/>
            <w:shd w:val="clear" w:color="auto" w:fill="EDEDED" w:themeFill="accent3" w:themeFillTint="33"/>
          </w:tcPr>
          <w:p w14:paraId="014DEB6B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Homes that do not meet the decent homes standard</w:t>
            </w:r>
          </w:p>
        </w:tc>
        <w:tc>
          <w:tcPr>
            <w:tcW w:w="1170" w:type="dxa"/>
            <w:shd w:val="clear" w:color="auto" w:fill="EDEDED" w:themeFill="accent3" w:themeFillTint="33"/>
          </w:tcPr>
          <w:p w14:paraId="254D1D26" w14:textId="2D084DC8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0.53%</w:t>
            </w:r>
          </w:p>
        </w:tc>
        <w:tc>
          <w:tcPr>
            <w:tcW w:w="1098" w:type="dxa"/>
            <w:shd w:val="clear" w:color="auto" w:fill="EDEDED" w:themeFill="accent3" w:themeFillTint="33"/>
          </w:tcPr>
          <w:p w14:paraId="1A63F3E7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0.2%</w:t>
            </w:r>
          </w:p>
          <w:p w14:paraId="0790B3A2" w14:textId="183E2A80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33CC33"/>
          </w:tcPr>
          <w:p w14:paraId="5A8983C3" w14:textId="77777777" w:rsidR="00F80630" w:rsidRPr="004E35C6" w:rsidRDefault="00F80630" w:rsidP="004E35C6">
            <w:pPr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EDEDED" w:themeFill="accent3" w:themeFillTint="33"/>
          </w:tcPr>
          <w:p w14:paraId="7653ED92" w14:textId="40CBD88E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LCRA</w:t>
            </w:r>
          </w:p>
        </w:tc>
      </w:tr>
      <w:tr w:rsidR="00F80630" w:rsidRPr="004E35C6" w14:paraId="4F664DEC" w14:textId="0CCDEBDC" w:rsidTr="004E35C6">
        <w:tc>
          <w:tcPr>
            <w:tcW w:w="988" w:type="dxa"/>
            <w:shd w:val="clear" w:color="auto" w:fill="EDEDED" w:themeFill="accent3" w:themeFillTint="33"/>
          </w:tcPr>
          <w:p w14:paraId="4835206E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/>
                <w:w w:val="105"/>
                <w:sz w:val="20"/>
                <w:szCs w:val="20"/>
              </w:rPr>
            </w:pPr>
            <w:bookmarkStart w:id="0" w:name="_Hlk201740322"/>
            <w:r w:rsidRPr="004E35C6">
              <w:rPr>
                <w:rFonts w:ascii="Calibri" w:hAnsi="Calibri" w:cs="Calibri"/>
                <w:b/>
                <w:w w:val="105"/>
                <w:sz w:val="20"/>
                <w:szCs w:val="20"/>
              </w:rPr>
              <w:t>RP02 (1)</w:t>
            </w:r>
          </w:p>
        </w:tc>
        <w:tc>
          <w:tcPr>
            <w:tcW w:w="4394" w:type="dxa"/>
            <w:shd w:val="clear" w:color="auto" w:fill="EDEDED" w:themeFill="accent3" w:themeFillTint="33"/>
          </w:tcPr>
          <w:p w14:paraId="3929FF51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 xml:space="preserve">Proportion of non-emergency responsive repairs completed within the landlord’s target time scale </w:t>
            </w:r>
          </w:p>
        </w:tc>
        <w:tc>
          <w:tcPr>
            <w:tcW w:w="1170" w:type="dxa"/>
            <w:shd w:val="clear" w:color="auto" w:fill="EDEDED" w:themeFill="accent3" w:themeFillTint="33"/>
          </w:tcPr>
          <w:p w14:paraId="1B349AB9" w14:textId="50594856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74.9%</w:t>
            </w:r>
          </w:p>
        </w:tc>
        <w:tc>
          <w:tcPr>
            <w:tcW w:w="1098" w:type="dxa"/>
            <w:shd w:val="clear" w:color="auto" w:fill="EDEDED" w:themeFill="accent3" w:themeFillTint="33"/>
          </w:tcPr>
          <w:p w14:paraId="4C206BF2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86.2%</w:t>
            </w:r>
          </w:p>
          <w:p w14:paraId="12D9FA5C" w14:textId="5A80BF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33CC33"/>
          </w:tcPr>
          <w:p w14:paraId="1254182B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EDEDED" w:themeFill="accent3" w:themeFillTint="33"/>
          </w:tcPr>
          <w:p w14:paraId="52DE071A" w14:textId="106F018E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LCRA</w:t>
            </w:r>
          </w:p>
        </w:tc>
      </w:tr>
      <w:tr w:rsidR="00F80630" w:rsidRPr="004E35C6" w14:paraId="00A52477" w14:textId="2AC3426B" w:rsidTr="004E35C6">
        <w:tc>
          <w:tcPr>
            <w:tcW w:w="988" w:type="dxa"/>
            <w:shd w:val="clear" w:color="auto" w:fill="EDEDED" w:themeFill="accent3" w:themeFillTint="33"/>
          </w:tcPr>
          <w:p w14:paraId="22C840E9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/>
                <w:w w:val="105"/>
                <w:sz w:val="20"/>
                <w:szCs w:val="20"/>
              </w:rPr>
              <w:t>RP02 (2)</w:t>
            </w:r>
          </w:p>
        </w:tc>
        <w:tc>
          <w:tcPr>
            <w:tcW w:w="4394" w:type="dxa"/>
            <w:shd w:val="clear" w:color="auto" w:fill="EDEDED" w:themeFill="accent3" w:themeFillTint="33"/>
          </w:tcPr>
          <w:p w14:paraId="776EECE1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 xml:space="preserve">Proportion of emergency responsive repairs completed within the landlord’s target time scale </w:t>
            </w:r>
          </w:p>
        </w:tc>
        <w:tc>
          <w:tcPr>
            <w:tcW w:w="1170" w:type="dxa"/>
            <w:shd w:val="clear" w:color="auto" w:fill="EDEDED" w:themeFill="accent3" w:themeFillTint="33"/>
          </w:tcPr>
          <w:p w14:paraId="75826374" w14:textId="4B69E886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92.0%</w:t>
            </w:r>
          </w:p>
        </w:tc>
        <w:tc>
          <w:tcPr>
            <w:tcW w:w="1098" w:type="dxa"/>
            <w:shd w:val="clear" w:color="auto" w:fill="EDEDED" w:themeFill="accent3" w:themeFillTint="33"/>
          </w:tcPr>
          <w:p w14:paraId="262E52C0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91.7%</w:t>
            </w:r>
          </w:p>
          <w:p w14:paraId="5A296218" w14:textId="390A4834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0000"/>
          </w:tcPr>
          <w:p w14:paraId="2BD167C7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EDEDED" w:themeFill="accent3" w:themeFillTint="33"/>
          </w:tcPr>
          <w:p w14:paraId="1FD7D1C6" w14:textId="2F4F12A9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LCRA</w:t>
            </w:r>
          </w:p>
        </w:tc>
      </w:tr>
      <w:bookmarkEnd w:id="0"/>
      <w:tr w:rsidR="00F80630" w:rsidRPr="004E35C6" w14:paraId="231641E5" w14:textId="359756AC" w:rsidTr="004E35C6">
        <w:tc>
          <w:tcPr>
            <w:tcW w:w="988" w:type="dxa"/>
          </w:tcPr>
          <w:p w14:paraId="5A74925D" w14:textId="7E65ADB8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/>
                <w:w w:val="105"/>
                <w:sz w:val="20"/>
                <w:szCs w:val="20"/>
              </w:rPr>
            </w:pPr>
          </w:p>
        </w:tc>
        <w:tc>
          <w:tcPr>
            <w:tcW w:w="4394" w:type="dxa"/>
          </w:tcPr>
          <w:p w14:paraId="451FEF46" w14:textId="1DC65DD0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/>
                <w:w w:val="105"/>
                <w:sz w:val="20"/>
                <w:szCs w:val="20"/>
              </w:rPr>
              <w:t>Safety</w:t>
            </w:r>
          </w:p>
        </w:tc>
        <w:tc>
          <w:tcPr>
            <w:tcW w:w="1170" w:type="dxa"/>
          </w:tcPr>
          <w:p w14:paraId="752B2E89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  <w:tc>
          <w:tcPr>
            <w:tcW w:w="1098" w:type="dxa"/>
          </w:tcPr>
          <w:p w14:paraId="14A5435F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  <w:tc>
          <w:tcPr>
            <w:tcW w:w="850" w:type="dxa"/>
          </w:tcPr>
          <w:p w14:paraId="28E2A146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  <w:tc>
          <w:tcPr>
            <w:tcW w:w="993" w:type="dxa"/>
          </w:tcPr>
          <w:p w14:paraId="09E4D1BD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</w:tr>
      <w:tr w:rsidR="00F80630" w:rsidRPr="004E35C6" w14:paraId="7E9E5C51" w14:textId="2A4EFD8D" w:rsidTr="00260483">
        <w:tc>
          <w:tcPr>
            <w:tcW w:w="988" w:type="dxa"/>
            <w:shd w:val="clear" w:color="auto" w:fill="F7E3F4"/>
          </w:tcPr>
          <w:p w14:paraId="27EAB261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/>
                <w:w w:val="105"/>
                <w:sz w:val="20"/>
                <w:szCs w:val="20"/>
              </w:rPr>
              <w:t>BS01</w:t>
            </w:r>
          </w:p>
        </w:tc>
        <w:tc>
          <w:tcPr>
            <w:tcW w:w="4394" w:type="dxa"/>
            <w:shd w:val="clear" w:color="auto" w:fill="F7E3F4"/>
          </w:tcPr>
          <w:p w14:paraId="71C9F1F3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Proportion of homes for which all required gas safety checks have been carried out</w:t>
            </w:r>
          </w:p>
        </w:tc>
        <w:tc>
          <w:tcPr>
            <w:tcW w:w="1170" w:type="dxa"/>
            <w:shd w:val="clear" w:color="auto" w:fill="F7E3F4"/>
          </w:tcPr>
          <w:p w14:paraId="6B53F8C0" w14:textId="6C3E82C9" w:rsidR="00F80630" w:rsidRPr="004E35C6" w:rsidRDefault="004E35C6" w:rsidP="004E35C6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 w:line="360" w:lineRule="auto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100%</w:t>
            </w:r>
          </w:p>
        </w:tc>
        <w:tc>
          <w:tcPr>
            <w:tcW w:w="1098" w:type="dxa"/>
            <w:shd w:val="clear" w:color="auto" w:fill="F7E3F4"/>
          </w:tcPr>
          <w:p w14:paraId="0F7AD929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100%</w:t>
            </w:r>
          </w:p>
          <w:p w14:paraId="76E9B3A9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33CC33"/>
          </w:tcPr>
          <w:p w14:paraId="728E5524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7E3F4"/>
          </w:tcPr>
          <w:p w14:paraId="3361E569" w14:textId="460ECD30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LCRA &amp; LCHO</w:t>
            </w:r>
          </w:p>
        </w:tc>
      </w:tr>
      <w:tr w:rsidR="00F80630" w:rsidRPr="004E35C6" w14:paraId="56ADD1EC" w14:textId="4DAAC928" w:rsidTr="00260483">
        <w:tc>
          <w:tcPr>
            <w:tcW w:w="988" w:type="dxa"/>
            <w:shd w:val="clear" w:color="auto" w:fill="F7E3F4"/>
          </w:tcPr>
          <w:p w14:paraId="1C488E6F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/>
                <w:w w:val="105"/>
                <w:sz w:val="20"/>
                <w:szCs w:val="20"/>
              </w:rPr>
              <w:t>BS02</w:t>
            </w:r>
          </w:p>
        </w:tc>
        <w:tc>
          <w:tcPr>
            <w:tcW w:w="4394" w:type="dxa"/>
            <w:shd w:val="clear" w:color="auto" w:fill="F7E3F4"/>
          </w:tcPr>
          <w:p w14:paraId="268CE74E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Proportion of homes for which all required fire risk assessments have been carried out</w:t>
            </w:r>
          </w:p>
        </w:tc>
        <w:tc>
          <w:tcPr>
            <w:tcW w:w="1170" w:type="dxa"/>
            <w:shd w:val="clear" w:color="auto" w:fill="F7E3F4"/>
          </w:tcPr>
          <w:p w14:paraId="069270E8" w14:textId="126195D8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100%</w:t>
            </w:r>
          </w:p>
        </w:tc>
        <w:tc>
          <w:tcPr>
            <w:tcW w:w="1098" w:type="dxa"/>
            <w:shd w:val="clear" w:color="auto" w:fill="F7E3F4"/>
          </w:tcPr>
          <w:p w14:paraId="3B023864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100%</w:t>
            </w:r>
          </w:p>
          <w:p w14:paraId="5F3A3270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33CC33"/>
          </w:tcPr>
          <w:p w14:paraId="1D1AEBC5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7E3F4"/>
          </w:tcPr>
          <w:p w14:paraId="2BF3DF78" w14:textId="16F27C4D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LCRA &amp; LCHO</w:t>
            </w:r>
          </w:p>
        </w:tc>
      </w:tr>
      <w:tr w:rsidR="00F80630" w:rsidRPr="004E35C6" w14:paraId="65FA433F" w14:textId="45D0D390" w:rsidTr="00260483">
        <w:tc>
          <w:tcPr>
            <w:tcW w:w="988" w:type="dxa"/>
            <w:shd w:val="clear" w:color="auto" w:fill="F7E3F4"/>
          </w:tcPr>
          <w:p w14:paraId="655B1F67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/>
                <w:w w:val="105"/>
                <w:sz w:val="20"/>
                <w:szCs w:val="20"/>
              </w:rPr>
              <w:t>BS03</w:t>
            </w:r>
          </w:p>
        </w:tc>
        <w:tc>
          <w:tcPr>
            <w:tcW w:w="4394" w:type="dxa"/>
            <w:shd w:val="clear" w:color="auto" w:fill="F7E3F4"/>
          </w:tcPr>
          <w:p w14:paraId="73D095FF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Proportion of homes for which all required asbestos management surveys or re-inspections have been carried out</w:t>
            </w:r>
          </w:p>
        </w:tc>
        <w:tc>
          <w:tcPr>
            <w:tcW w:w="1170" w:type="dxa"/>
            <w:shd w:val="clear" w:color="auto" w:fill="F7E3F4"/>
          </w:tcPr>
          <w:p w14:paraId="241740D7" w14:textId="44BE496C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100%</w:t>
            </w:r>
          </w:p>
        </w:tc>
        <w:tc>
          <w:tcPr>
            <w:tcW w:w="1098" w:type="dxa"/>
            <w:shd w:val="clear" w:color="auto" w:fill="F7E3F4"/>
          </w:tcPr>
          <w:p w14:paraId="2B1F2C7B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100%</w:t>
            </w:r>
          </w:p>
        </w:tc>
        <w:tc>
          <w:tcPr>
            <w:tcW w:w="850" w:type="dxa"/>
            <w:shd w:val="clear" w:color="auto" w:fill="33CC33"/>
          </w:tcPr>
          <w:p w14:paraId="4FEF27F7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7E3F4"/>
          </w:tcPr>
          <w:p w14:paraId="77511466" w14:textId="6F976086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LCRA &amp; LCHO</w:t>
            </w:r>
          </w:p>
        </w:tc>
      </w:tr>
      <w:tr w:rsidR="00F80630" w:rsidRPr="004E35C6" w14:paraId="5AA95BA6" w14:textId="7C888C21" w:rsidTr="00260483">
        <w:tc>
          <w:tcPr>
            <w:tcW w:w="988" w:type="dxa"/>
            <w:shd w:val="clear" w:color="auto" w:fill="F7E3F4"/>
          </w:tcPr>
          <w:p w14:paraId="4CF2BC8D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/>
                <w:w w:val="105"/>
                <w:sz w:val="20"/>
                <w:szCs w:val="20"/>
              </w:rPr>
              <w:t>BS04</w:t>
            </w:r>
          </w:p>
        </w:tc>
        <w:tc>
          <w:tcPr>
            <w:tcW w:w="4394" w:type="dxa"/>
            <w:shd w:val="clear" w:color="auto" w:fill="F7E3F4"/>
          </w:tcPr>
          <w:p w14:paraId="17383FF2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Proportion of homes for which all required legionella risk assessments have been carried out</w:t>
            </w:r>
          </w:p>
        </w:tc>
        <w:tc>
          <w:tcPr>
            <w:tcW w:w="1170" w:type="dxa"/>
            <w:shd w:val="clear" w:color="auto" w:fill="F7E3F4"/>
          </w:tcPr>
          <w:p w14:paraId="63F9EEC5" w14:textId="531398CA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100%</w:t>
            </w:r>
          </w:p>
        </w:tc>
        <w:tc>
          <w:tcPr>
            <w:tcW w:w="1098" w:type="dxa"/>
            <w:shd w:val="clear" w:color="auto" w:fill="F7E3F4"/>
          </w:tcPr>
          <w:p w14:paraId="0649DCD4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100%</w:t>
            </w:r>
          </w:p>
        </w:tc>
        <w:tc>
          <w:tcPr>
            <w:tcW w:w="850" w:type="dxa"/>
            <w:shd w:val="clear" w:color="auto" w:fill="33CC33"/>
          </w:tcPr>
          <w:p w14:paraId="4EACFA10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7E3F4"/>
          </w:tcPr>
          <w:p w14:paraId="1D74D097" w14:textId="1D5EEA9F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LCRA &amp; LCHO</w:t>
            </w:r>
          </w:p>
        </w:tc>
      </w:tr>
      <w:tr w:rsidR="00F80630" w:rsidRPr="004E35C6" w14:paraId="1E7BAEB2" w14:textId="2572FB69" w:rsidTr="00260483">
        <w:tc>
          <w:tcPr>
            <w:tcW w:w="988" w:type="dxa"/>
            <w:shd w:val="clear" w:color="auto" w:fill="F7E3F4"/>
          </w:tcPr>
          <w:p w14:paraId="2E2DD6B5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/>
                <w:w w:val="105"/>
                <w:sz w:val="20"/>
                <w:szCs w:val="20"/>
              </w:rPr>
              <w:t>BS05</w:t>
            </w:r>
          </w:p>
        </w:tc>
        <w:tc>
          <w:tcPr>
            <w:tcW w:w="4394" w:type="dxa"/>
            <w:shd w:val="clear" w:color="auto" w:fill="F7E3F4"/>
          </w:tcPr>
          <w:p w14:paraId="2F92AAB5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Proportion of homes for which all required communal passenger lift safety checks have been carried out</w:t>
            </w:r>
          </w:p>
        </w:tc>
        <w:tc>
          <w:tcPr>
            <w:tcW w:w="1170" w:type="dxa"/>
            <w:shd w:val="clear" w:color="auto" w:fill="F7E3F4"/>
          </w:tcPr>
          <w:p w14:paraId="28ABAA23" w14:textId="31D94E15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100%</w:t>
            </w:r>
          </w:p>
        </w:tc>
        <w:tc>
          <w:tcPr>
            <w:tcW w:w="1098" w:type="dxa"/>
            <w:shd w:val="clear" w:color="auto" w:fill="F7E3F4"/>
          </w:tcPr>
          <w:p w14:paraId="5CAAC606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100%</w:t>
            </w:r>
          </w:p>
        </w:tc>
        <w:tc>
          <w:tcPr>
            <w:tcW w:w="850" w:type="dxa"/>
            <w:shd w:val="clear" w:color="auto" w:fill="33CC33"/>
          </w:tcPr>
          <w:p w14:paraId="36040777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7E3F4"/>
          </w:tcPr>
          <w:p w14:paraId="4723BAB8" w14:textId="5D5B85A4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LCRA &amp; LCHO</w:t>
            </w:r>
          </w:p>
        </w:tc>
      </w:tr>
      <w:tr w:rsidR="00F80630" w:rsidRPr="004E35C6" w14:paraId="01A615CC" w14:textId="40BEFAF0" w:rsidTr="004E35C6">
        <w:tc>
          <w:tcPr>
            <w:tcW w:w="988" w:type="dxa"/>
          </w:tcPr>
          <w:p w14:paraId="09E9A654" w14:textId="6C900064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/>
                <w:w w:val="105"/>
                <w:sz w:val="20"/>
                <w:szCs w:val="20"/>
              </w:rPr>
            </w:pPr>
          </w:p>
        </w:tc>
        <w:tc>
          <w:tcPr>
            <w:tcW w:w="4394" w:type="dxa"/>
          </w:tcPr>
          <w:p w14:paraId="639E98D0" w14:textId="6B6BEC1E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/>
                <w:w w:val="105"/>
                <w:sz w:val="20"/>
                <w:szCs w:val="20"/>
              </w:rPr>
              <w:t>Complaints</w:t>
            </w:r>
          </w:p>
        </w:tc>
        <w:tc>
          <w:tcPr>
            <w:tcW w:w="1170" w:type="dxa"/>
          </w:tcPr>
          <w:p w14:paraId="56595B86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  <w:tc>
          <w:tcPr>
            <w:tcW w:w="1098" w:type="dxa"/>
          </w:tcPr>
          <w:p w14:paraId="3D18F61A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  <w:tc>
          <w:tcPr>
            <w:tcW w:w="850" w:type="dxa"/>
          </w:tcPr>
          <w:p w14:paraId="1F836AB4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  <w:tc>
          <w:tcPr>
            <w:tcW w:w="993" w:type="dxa"/>
          </w:tcPr>
          <w:p w14:paraId="79AD97B6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</w:tr>
      <w:tr w:rsidR="00F80630" w:rsidRPr="004E35C6" w14:paraId="726AB415" w14:textId="13A208BF" w:rsidTr="004E35C6">
        <w:tc>
          <w:tcPr>
            <w:tcW w:w="988" w:type="dxa"/>
            <w:shd w:val="clear" w:color="auto" w:fill="DEEAF6" w:themeFill="accent5" w:themeFillTint="33"/>
          </w:tcPr>
          <w:p w14:paraId="5B9ED81F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/>
                <w:w w:val="105"/>
                <w:sz w:val="20"/>
                <w:szCs w:val="20"/>
              </w:rPr>
            </w:pPr>
            <w:bookmarkStart w:id="1" w:name="_Hlk201740487"/>
            <w:r w:rsidRPr="004E35C6">
              <w:rPr>
                <w:rFonts w:ascii="Calibri" w:hAnsi="Calibri" w:cs="Calibri"/>
                <w:b/>
                <w:w w:val="105"/>
                <w:sz w:val="20"/>
                <w:szCs w:val="20"/>
              </w:rPr>
              <w:t>CH01 (1)</w:t>
            </w:r>
          </w:p>
        </w:tc>
        <w:tc>
          <w:tcPr>
            <w:tcW w:w="4394" w:type="dxa"/>
            <w:shd w:val="clear" w:color="auto" w:fill="DEEAF6" w:themeFill="accent5" w:themeFillTint="33"/>
          </w:tcPr>
          <w:p w14:paraId="77D6131F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Number of stage one complaints received per 1,000 homes</w:t>
            </w:r>
          </w:p>
        </w:tc>
        <w:tc>
          <w:tcPr>
            <w:tcW w:w="1170" w:type="dxa"/>
            <w:shd w:val="clear" w:color="auto" w:fill="DEEAF6" w:themeFill="accent5" w:themeFillTint="33"/>
          </w:tcPr>
          <w:p w14:paraId="6AA88D36" w14:textId="7D8AE0BB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w w:val="105"/>
                <w:sz w:val="20"/>
                <w:szCs w:val="20"/>
              </w:rPr>
              <w:t>24.2</w:t>
            </w:r>
          </w:p>
        </w:tc>
        <w:tc>
          <w:tcPr>
            <w:tcW w:w="1098" w:type="dxa"/>
            <w:shd w:val="clear" w:color="auto" w:fill="DEEAF6" w:themeFill="accent5" w:themeFillTint="33"/>
          </w:tcPr>
          <w:p w14:paraId="5F3E41AF" w14:textId="3BC782DD" w:rsidR="00F80630" w:rsidRPr="004E35C6" w:rsidRDefault="0001732A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w w:val="105"/>
                <w:sz w:val="20"/>
                <w:szCs w:val="20"/>
              </w:rPr>
              <w:t>28.7</w:t>
            </w:r>
          </w:p>
        </w:tc>
        <w:tc>
          <w:tcPr>
            <w:tcW w:w="850" w:type="dxa"/>
            <w:shd w:val="clear" w:color="auto" w:fill="DEEAF6" w:themeFill="accent5" w:themeFillTint="33"/>
          </w:tcPr>
          <w:p w14:paraId="38055000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EEAF6" w:themeFill="accent5" w:themeFillTint="33"/>
          </w:tcPr>
          <w:p w14:paraId="4A3642F4" w14:textId="234117F4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w w:val="105"/>
                <w:sz w:val="20"/>
                <w:szCs w:val="20"/>
              </w:rPr>
              <w:t>LCRA</w:t>
            </w:r>
          </w:p>
        </w:tc>
      </w:tr>
      <w:tr w:rsidR="00F80630" w:rsidRPr="004E35C6" w14:paraId="580CB60D" w14:textId="1EB373FE" w:rsidTr="004E35C6">
        <w:tc>
          <w:tcPr>
            <w:tcW w:w="988" w:type="dxa"/>
            <w:shd w:val="clear" w:color="auto" w:fill="DEEAF6" w:themeFill="accent5" w:themeFillTint="33"/>
          </w:tcPr>
          <w:p w14:paraId="028B7DD9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/>
                <w:w w:val="105"/>
                <w:sz w:val="20"/>
                <w:szCs w:val="20"/>
              </w:rPr>
              <w:t>CH01 (2)</w:t>
            </w:r>
          </w:p>
        </w:tc>
        <w:tc>
          <w:tcPr>
            <w:tcW w:w="4394" w:type="dxa"/>
            <w:shd w:val="clear" w:color="auto" w:fill="DEEAF6" w:themeFill="accent5" w:themeFillTint="33"/>
          </w:tcPr>
          <w:p w14:paraId="3C6796D1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Number of stage two complaints received per 1,000 homes</w:t>
            </w:r>
          </w:p>
        </w:tc>
        <w:tc>
          <w:tcPr>
            <w:tcW w:w="1170" w:type="dxa"/>
            <w:shd w:val="clear" w:color="auto" w:fill="DEEAF6" w:themeFill="accent5" w:themeFillTint="33"/>
          </w:tcPr>
          <w:p w14:paraId="6D11B77A" w14:textId="3C72ADAC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w w:val="105"/>
                <w:sz w:val="20"/>
                <w:szCs w:val="20"/>
              </w:rPr>
              <w:t>4.5</w:t>
            </w:r>
          </w:p>
        </w:tc>
        <w:tc>
          <w:tcPr>
            <w:tcW w:w="1098" w:type="dxa"/>
            <w:shd w:val="clear" w:color="auto" w:fill="DEEAF6" w:themeFill="accent5" w:themeFillTint="33"/>
          </w:tcPr>
          <w:p w14:paraId="5BB8B536" w14:textId="2AB994D8" w:rsidR="00F80630" w:rsidRPr="004E35C6" w:rsidRDefault="0001732A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w w:val="105"/>
                <w:sz w:val="20"/>
                <w:szCs w:val="20"/>
              </w:rPr>
              <w:t>7.6</w:t>
            </w:r>
          </w:p>
        </w:tc>
        <w:tc>
          <w:tcPr>
            <w:tcW w:w="850" w:type="dxa"/>
            <w:shd w:val="clear" w:color="auto" w:fill="DEEAF6" w:themeFill="accent5" w:themeFillTint="33"/>
          </w:tcPr>
          <w:p w14:paraId="6C333257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EEAF6" w:themeFill="accent5" w:themeFillTint="33"/>
          </w:tcPr>
          <w:p w14:paraId="65759995" w14:textId="469733F9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w w:val="105"/>
                <w:sz w:val="20"/>
                <w:szCs w:val="20"/>
              </w:rPr>
              <w:t>LCRA</w:t>
            </w:r>
          </w:p>
        </w:tc>
      </w:tr>
      <w:tr w:rsidR="00F80630" w:rsidRPr="004E35C6" w14:paraId="3626EC98" w14:textId="6B91DFD0" w:rsidTr="0001732A">
        <w:tc>
          <w:tcPr>
            <w:tcW w:w="988" w:type="dxa"/>
            <w:shd w:val="clear" w:color="auto" w:fill="DEEAF6" w:themeFill="accent5" w:themeFillTint="33"/>
          </w:tcPr>
          <w:p w14:paraId="7AB0FDF7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/>
                <w:w w:val="105"/>
                <w:sz w:val="20"/>
                <w:szCs w:val="20"/>
              </w:rPr>
              <w:t>CH02 (1)</w:t>
            </w:r>
          </w:p>
        </w:tc>
        <w:tc>
          <w:tcPr>
            <w:tcW w:w="4394" w:type="dxa"/>
            <w:shd w:val="clear" w:color="auto" w:fill="DEEAF6" w:themeFill="accent5" w:themeFillTint="33"/>
          </w:tcPr>
          <w:p w14:paraId="730BE67C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Proportion of stage one complaints responded to within the Housing Ombudsman’s Complaint Handling timescale</w:t>
            </w:r>
          </w:p>
        </w:tc>
        <w:tc>
          <w:tcPr>
            <w:tcW w:w="1170" w:type="dxa"/>
            <w:shd w:val="clear" w:color="auto" w:fill="DEEAF6" w:themeFill="accent5" w:themeFillTint="33"/>
          </w:tcPr>
          <w:p w14:paraId="2A9629B2" w14:textId="3F077272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w w:val="105"/>
                <w:sz w:val="20"/>
                <w:szCs w:val="20"/>
              </w:rPr>
              <w:t>93.8%</w:t>
            </w:r>
          </w:p>
        </w:tc>
        <w:tc>
          <w:tcPr>
            <w:tcW w:w="1098" w:type="dxa"/>
            <w:shd w:val="clear" w:color="auto" w:fill="DEEAF6" w:themeFill="accent5" w:themeFillTint="33"/>
          </w:tcPr>
          <w:p w14:paraId="5DCA54E0" w14:textId="56023180" w:rsidR="00F80630" w:rsidRPr="004E35C6" w:rsidRDefault="0001732A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w w:val="105"/>
                <w:sz w:val="20"/>
                <w:szCs w:val="20"/>
              </w:rPr>
              <w:t>78.9</w:t>
            </w:r>
            <w:r w:rsidR="00F80630"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%</w:t>
            </w:r>
          </w:p>
        </w:tc>
        <w:tc>
          <w:tcPr>
            <w:tcW w:w="850" w:type="dxa"/>
            <w:shd w:val="clear" w:color="auto" w:fill="FF0000"/>
          </w:tcPr>
          <w:p w14:paraId="5C5E9D30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EEAF6" w:themeFill="accent5" w:themeFillTint="33"/>
          </w:tcPr>
          <w:p w14:paraId="564423F9" w14:textId="31B1A53C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w w:val="105"/>
                <w:sz w:val="20"/>
                <w:szCs w:val="20"/>
              </w:rPr>
              <w:t>LCRA</w:t>
            </w:r>
          </w:p>
        </w:tc>
      </w:tr>
      <w:tr w:rsidR="00F80630" w:rsidRPr="004E35C6" w14:paraId="3F7AA933" w14:textId="0F24F993" w:rsidTr="0001732A">
        <w:tc>
          <w:tcPr>
            <w:tcW w:w="988" w:type="dxa"/>
            <w:shd w:val="clear" w:color="auto" w:fill="DEEAF6" w:themeFill="accent5" w:themeFillTint="33"/>
          </w:tcPr>
          <w:p w14:paraId="0E4F472F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/>
                <w:w w:val="105"/>
                <w:sz w:val="20"/>
                <w:szCs w:val="20"/>
              </w:rPr>
              <w:t>CH02 (2)</w:t>
            </w:r>
          </w:p>
        </w:tc>
        <w:tc>
          <w:tcPr>
            <w:tcW w:w="4394" w:type="dxa"/>
            <w:shd w:val="clear" w:color="auto" w:fill="DEEAF6" w:themeFill="accent5" w:themeFillTint="33"/>
          </w:tcPr>
          <w:p w14:paraId="126A7FE3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Proportion of stage two complaints responded to within the Housing Ombudsman’s Complaint Handling timescale</w:t>
            </w:r>
          </w:p>
        </w:tc>
        <w:tc>
          <w:tcPr>
            <w:tcW w:w="1170" w:type="dxa"/>
            <w:shd w:val="clear" w:color="auto" w:fill="DEEAF6" w:themeFill="accent5" w:themeFillTint="33"/>
          </w:tcPr>
          <w:p w14:paraId="1AB8E895" w14:textId="7E641015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w w:val="105"/>
                <w:sz w:val="20"/>
                <w:szCs w:val="20"/>
              </w:rPr>
              <w:t>83.3%</w:t>
            </w:r>
          </w:p>
        </w:tc>
        <w:tc>
          <w:tcPr>
            <w:tcW w:w="1098" w:type="dxa"/>
            <w:shd w:val="clear" w:color="auto" w:fill="DEEAF6" w:themeFill="accent5" w:themeFillTint="33"/>
          </w:tcPr>
          <w:p w14:paraId="42BF49AF" w14:textId="017A0894" w:rsidR="00F80630" w:rsidRPr="004E35C6" w:rsidRDefault="0001732A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w w:val="105"/>
                <w:sz w:val="20"/>
                <w:szCs w:val="20"/>
              </w:rPr>
              <w:t>80</w:t>
            </w:r>
            <w:r w:rsidR="00166597">
              <w:rPr>
                <w:rFonts w:ascii="Calibri" w:hAnsi="Calibri" w:cs="Calibri"/>
                <w:bCs/>
                <w:w w:val="105"/>
                <w:sz w:val="20"/>
                <w:szCs w:val="20"/>
              </w:rPr>
              <w:t>.0</w:t>
            </w:r>
            <w:r w:rsidR="00F80630"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%</w:t>
            </w:r>
          </w:p>
        </w:tc>
        <w:tc>
          <w:tcPr>
            <w:tcW w:w="850" w:type="dxa"/>
            <w:shd w:val="clear" w:color="auto" w:fill="FF0000"/>
          </w:tcPr>
          <w:p w14:paraId="6F95608F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EEAF6" w:themeFill="accent5" w:themeFillTint="33"/>
          </w:tcPr>
          <w:p w14:paraId="18874862" w14:textId="071CB71B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w w:val="105"/>
                <w:sz w:val="20"/>
                <w:szCs w:val="20"/>
              </w:rPr>
              <w:t>LCRA</w:t>
            </w:r>
          </w:p>
        </w:tc>
      </w:tr>
      <w:tr w:rsidR="00F80630" w:rsidRPr="004E35C6" w14:paraId="054F722F" w14:textId="18F09220" w:rsidTr="004E35C6">
        <w:tc>
          <w:tcPr>
            <w:tcW w:w="988" w:type="dxa"/>
          </w:tcPr>
          <w:p w14:paraId="5FB9CF36" w14:textId="5ABCFBCB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/>
                <w:w w:val="105"/>
                <w:sz w:val="20"/>
                <w:szCs w:val="20"/>
              </w:rPr>
            </w:pPr>
          </w:p>
        </w:tc>
        <w:tc>
          <w:tcPr>
            <w:tcW w:w="4394" w:type="dxa"/>
          </w:tcPr>
          <w:p w14:paraId="764F219B" w14:textId="1F1479AF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/>
                <w:w w:val="105"/>
                <w:sz w:val="20"/>
                <w:szCs w:val="20"/>
              </w:rPr>
              <w:t>Anti-Social Behaviour</w:t>
            </w:r>
          </w:p>
        </w:tc>
        <w:tc>
          <w:tcPr>
            <w:tcW w:w="1170" w:type="dxa"/>
          </w:tcPr>
          <w:p w14:paraId="54C93317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  <w:tc>
          <w:tcPr>
            <w:tcW w:w="1098" w:type="dxa"/>
          </w:tcPr>
          <w:p w14:paraId="45B9D5E4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  <w:tc>
          <w:tcPr>
            <w:tcW w:w="850" w:type="dxa"/>
          </w:tcPr>
          <w:p w14:paraId="146A9E70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  <w:tc>
          <w:tcPr>
            <w:tcW w:w="993" w:type="dxa"/>
          </w:tcPr>
          <w:p w14:paraId="602283C7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</w:tr>
      <w:tr w:rsidR="00F80630" w:rsidRPr="004E35C6" w14:paraId="56764DD6" w14:textId="2726654D" w:rsidTr="004E35C6">
        <w:tc>
          <w:tcPr>
            <w:tcW w:w="988" w:type="dxa"/>
            <w:shd w:val="clear" w:color="auto" w:fill="C9C9C9" w:themeFill="accent3" w:themeFillTint="99"/>
          </w:tcPr>
          <w:p w14:paraId="53DC2D32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/>
                <w:w w:val="105"/>
                <w:sz w:val="20"/>
                <w:szCs w:val="20"/>
              </w:rPr>
              <w:t>NM01</w:t>
            </w:r>
          </w:p>
        </w:tc>
        <w:tc>
          <w:tcPr>
            <w:tcW w:w="4394" w:type="dxa"/>
            <w:shd w:val="clear" w:color="auto" w:fill="C9C9C9" w:themeFill="accent3" w:themeFillTint="99"/>
          </w:tcPr>
          <w:p w14:paraId="40BEB2E0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Number of anti-social behaviour cases opened per 1,000 homes</w:t>
            </w:r>
          </w:p>
        </w:tc>
        <w:tc>
          <w:tcPr>
            <w:tcW w:w="1170" w:type="dxa"/>
            <w:shd w:val="clear" w:color="auto" w:fill="C9C9C9" w:themeFill="accent3" w:themeFillTint="99"/>
          </w:tcPr>
          <w:p w14:paraId="6EE121CD" w14:textId="487E5D79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w w:val="105"/>
                <w:sz w:val="20"/>
                <w:szCs w:val="20"/>
              </w:rPr>
              <w:t>17.4</w:t>
            </w:r>
          </w:p>
        </w:tc>
        <w:tc>
          <w:tcPr>
            <w:tcW w:w="1098" w:type="dxa"/>
            <w:shd w:val="clear" w:color="auto" w:fill="C9C9C9" w:themeFill="accent3" w:themeFillTint="99"/>
          </w:tcPr>
          <w:p w14:paraId="4DDA9AED" w14:textId="353813FE" w:rsidR="00F80630" w:rsidRPr="004E35C6" w:rsidRDefault="0001732A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w w:val="105"/>
                <w:sz w:val="20"/>
                <w:szCs w:val="20"/>
              </w:rPr>
              <w:t>23.9</w:t>
            </w:r>
          </w:p>
        </w:tc>
        <w:tc>
          <w:tcPr>
            <w:tcW w:w="850" w:type="dxa"/>
            <w:shd w:val="clear" w:color="auto" w:fill="C9C9C9" w:themeFill="accent3" w:themeFillTint="99"/>
          </w:tcPr>
          <w:p w14:paraId="788CB466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C9C9C9" w:themeFill="accent3" w:themeFillTint="99"/>
          </w:tcPr>
          <w:p w14:paraId="0709060E" w14:textId="7C534DC6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w w:val="105"/>
                <w:sz w:val="20"/>
                <w:szCs w:val="20"/>
              </w:rPr>
              <w:t>LCRA &amp; LCHO</w:t>
            </w:r>
          </w:p>
        </w:tc>
      </w:tr>
      <w:tr w:rsidR="00F80630" w:rsidRPr="004E35C6" w14:paraId="2588E4D0" w14:textId="0039FAB7" w:rsidTr="004E35C6">
        <w:tc>
          <w:tcPr>
            <w:tcW w:w="988" w:type="dxa"/>
            <w:shd w:val="clear" w:color="auto" w:fill="C9C9C9" w:themeFill="accent3" w:themeFillTint="99"/>
          </w:tcPr>
          <w:p w14:paraId="1394FF7C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/>
                <w:w w:val="105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C9C9C9" w:themeFill="accent3" w:themeFillTint="99"/>
          </w:tcPr>
          <w:p w14:paraId="5619EB5F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Number of anti-social behaviour cases, that involve hate incidents opened per 1,000 homes</w:t>
            </w:r>
          </w:p>
        </w:tc>
        <w:tc>
          <w:tcPr>
            <w:tcW w:w="1170" w:type="dxa"/>
            <w:shd w:val="clear" w:color="auto" w:fill="C9C9C9" w:themeFill="accent3" w:themeFillTint="99"/>
          </w:tcPr>
          <w:p w14:paraId="3B67859C" w14:textId="0CD44DA4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w w:val="105"/>
                <w:sz w:val="20"/>
                <w:szCs w:val="20"/>
              </w:rPr>
              <w:t>0.7</w:t>
            </w:r>
          </w:p>
        </w:tc>
        <w:tc>
          <w:tcPr>
            <w:tcW w:w="1098" w:type="dxa"/>
            <w:shd w:val="clear" w:color="auto" w:fill="C9C9C9" w:themeFill="accent3" w:themeFillTint="99"/>
          </w:tcPr>
          <w:p w14:paraId="0D7D934F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 w:rsidRPr="004E35C6">
              <w:rPr>
                <w:rFonts w:ascii="Calibri" w:hAnsi="Calibri" w:cs="Calibri"/>
                <w:bCs/>
                <w:w w:val="105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C9C9C9" w:themeFill="accent3" w:themeFillTint="99"/>
          </w:tcPr>
          <w:p w14:paraId="76941C8E" w14:textId="77777777" w:rsidR="00F80630" w:rsidRPr="004E35C6" w:rsidRDefault="00F80630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C9C9C9" w:themeFill="accent3" w:themeFillTint="99"/>
          </w:tcPr>
          <w:p w14:paraId="4B53F7BA" w14:textId="0CD3E714" w:rsidR="00F80630" w:rsidRPr="004E35C6" w:rsidRDefault="004E35C6" w:rsidP="00F80630">
            <w:pPr>
              <w:widowControl w:val="0"/>
              <w:tabs>
                <w:tab w:val="left" w:pos="1039"/>
                <w:tab w:val="left" w:pos="1045"/>
              </w:tabs>
              <w:autoSpaceDE w:val="0"/>
              <w:autoSpaceDN w:val="0"/>
              <w:spacing w:before="97"/>
              <w:rPr>
                <w:rFonts w:ascii="Calibri" w:hAnsi="Calibri" w:cs="Calibri"/>
                <w:bCs/>
                <w:w w:val="105"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w w:val="105"/>
                <w:sz w:val="20"/>
                <w:szCs w:val="20"/>
              </w:rPr>
              <w:t>LCRA &amp; LCHO</w:t>
            </w:r>
          </w:p>
        </w:tc>
      </w:tr>
      <w:bookmarkEnd w:id="1"/>
    </w:tbl>
    <w:p w14:paraId="3D1ADF82" w14:textId="77D8B015" w:rsidR="0023086F" w:rsidRDefault="0023086F"/>
    <w:p w14:paraId="7328815B" w14:textId="77777777" w:rsidR="0023086F" w:rsidRDefault="0023086F"/>
    <w:sectPr w:rsidR="002308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86F"/>
    <w:rsid w:val="0001732A"/>
    <w:rsid w:val="00166597"/>
    <w:rsid w:val="0022579B"/>
    <w:rsid w:val="0023086F"/>
    <w:rsid w:val="00260483"/>
    <w:rsid w:val="00297EE7"/>
    <w:rsid w:val="00391806"/>
    <w:rsid w:val="004E35C6"/>
    <w:rsid w:val="00651299"/>
    <w:rsid w:val="00777DC9"/>
    <w:rsid w:val="00794411"/>
    <w:rsid w:val="007A09DA"/>
    <w:rsid w:val="008B611B"/>
    <w:rsid w:val="008E5EA3"/>
    <w:rsid w:val="00991979"/>
    <w:rsid w:val="00BD4111"/>
    <w:rsid w:val="00F80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AD918"/>
  <w15:chartTrackingRefBased/>
  <w15:docId w15:val="{EFD0DE57-111C-4874-93DF-7C8E10737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086F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08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08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08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08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08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08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08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08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08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08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08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08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086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086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08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08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08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08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08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308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08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308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086F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308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086F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3086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08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086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086F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23086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F065B47D2B72247917D108C4116D2B9" ma:contentTypeVersion="11" ma:contentTypeDescription="Create a new document." ma:contentTypeScope="" ma:versionID="5a594aeb8cdf53f876b8f3c848a4f36d">
  <xsd:schema xmlns:xsd="http://www.w3.org/2001/XMLSchema" xmlns:xs="http://www.w3.org/2001/XMLSchema" xmlns:p="http://schemas.microsoft.com/office/2006/metadata/properties" xmlns:ns2="40b3b2b9-e409-4fc9-a80e-42cde3843a09" xmlns:ns3="e0602905-73ac-4788-9629-0ec22b4b1ddf" targetNamespace="http://schemas.microsoft.com/office/2006/metadata/properties" ma:root="true" ma:fieldsID="3b9044ca0d2594f1b6779a8c26278ebb" ns2:_="" ns3:_="">
    <xsd:import namespace="40b3b2b9-e409-4fc9-a80e-42cde3843a09"/>
    <xsd:import namespace="e0602905-73ac-4788-9629-0ec22b4b1d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Comment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b3b2b9-e409-4fc9-a80e-42cde3843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Comments" ma:index="14" nillable="true" ma:displayName="Comments" ma:format="Dropdown" ma:internalName="Comments">
      <xsd:simpleType>
        <xsd:restriction base="dms:Text">
          <xsd:maxLength value="255"/>
        </xsd:restriction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602905-73ac-4788-9629-0ec22b4b1dd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40b3b2b9-e409-4fc9-a80e-42cde3843a09" xsi:nil="true"/>
  </documentManagement>
</p:properties>
</file>

<file path=customXml/itemProps1.xml><?xml version="1.0" encoding="utf-8"?>
<ds:datastoreItem xmlns:ds="http://schemas.openxmlformats.org/officeDocument/2006/customXml" ds:itemID="{CFCE7107-90F4-4C10-B340-92B85F3F0A8B}"/>
</file>

<file path=customXml/itemProps2.xml><?xml version="1.0" encoding="utf-8"?>
<ds:datastoreItem xmlns:ds="http://schemas.openxmlformats.org/officeDocument/2006/customXml" ds:itemID="{5C71958B-CD34-45E5-823E-1FFB41D1C759}"/>
</file>

<file path=customXml/itemProps3.xml><?xml version="1.0" encoding="utf-8"?>
<ds:datastoreItem xmlns:ds="http://schemas.openxmlformats.org/officeDocument/2006/customXml" ds:itemID="{2421DD7F-721B-4FC9-97E0-1CE74BAEF72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539</Words>
  <Characters>3074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Proctor</dc:creator>
  <cp:keywords/>
  <dc:description/>
  <cp:lastModifiedBy>Katherine Proctor</cp:lastModifiedBy>
  <cp:revision>5</cp:revision>
  <dcterms:created xsi:type="dcterms:W3CDTF">2025-06-25T11:02:00Z</dcterms:created>
  <dcterms:modified xsi:type="dcterms:W3CDTF">2025-06-30T21:36:00Z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0x0101009F065B47D2B72247917D108C4116D2B9</vt:lpwstr>
  </property>
</Properties>
</file>